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B4" w:rsidRDefault="000974B4" w:rsidP="004E47A8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b/>
        </w:rPr>
        <w:t>Gender Pay</w:t>
      </w:r>
      <w:r w:rsidR="004A4B52">
        <w:rPr>
          <w:rFonts w:ascii="Arial" w:hAnsi="Arial" w:cs="Arial"/>
          <w:b/>
        </w:rPr>
        <w:t xml:space="preserve"> Gap reporting</w:t>
      </w:r>
      <w:r w:rsidR="003D5A19">
        <w:rPr>
          <w:rFonts w:ascii="Arial" w:hAnsi="Arial" w:cs="Arial"/>
          <w:b/>
        </w:rPr>
        <w:t xml:space="preserve"> - </w:t>
      </w:r>
      <w:r w:rsidR="00E60539">
        <w:rPr>
          <w:rFonts w:ascii="Arial" w:hAnsi="Arial" w:cs="Arial"/>
          <w:b/>
        </w:rPr>
        <w:t>31 March 2019</w:t>
      </w: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  <w:b/>
        </w:rPr>
      </w:pP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Trinity Academy Trust</w:t>
      </w: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  <w:b/>
        </w:rPr>
      </w:pP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C04F2">
        <w:rPr>
          <w:rFonts w:ascii="Arial" w:hAnsi="Arial" w:cs="Arial"/>
          <w:u w:val="single"/>
        </w:rPr>
        <w:t>Hourly Rate</w:t>
      </w: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Women’s hourly rate is:</w:t>
      </w: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3D5A19" w:rsidTr="0066180B">
        <w:tc>
          <w:tcPr>
            <w:tcW w:w="2268" w:type="dxa"/>
            <w:vAlign w:val="center"/>
          </w:tcPr>
          <w:p w:rsidR="003D5A19" w:rsidRDefault="00873E42" w:rsidP="004E47A8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23.6</w:t>
            </w:r>
            <w:r w:rsidR="004B71E2">
              <w:rPr>
                <w:rFonts w:ascii="Arial" w:hAnsi="Arial" w:cs="Arial"/>
                <w:sz w:val="36"/>
              </w:rPr>
              <w:t>2</w:t>
            </w:r>
            <w:r w:rsidR="003D5A19">
              <w:rPr>
                <w:rFonts w:ascii="Arial" w:hAnsi="Arial" w:cs="Arial"/>
                <w:sz w:val="36"/>
              </w:rPr>
              <w:t>%</w:t>
            </w:r>
          </w:p>
          <w:p w:rsidR="003D5A19" w:rsidRPr="001C04F2" w:rsidRDefault="003D5A19" w:rsidP="004E47A8">
            <w:pPr>
              <w:jc w:val="both"/>
              <w:rPr>
                <w:rFonts w:ascii="Arial" w:hAnsi="Arial" w:cs="Arial"/>
                <w:sz w:val="36"/>
              </w:rPr>
            </w:pPr>
            <w:r w:rsidRPr="0086017F">
              <w:rPr>
                <w:rFonts w:ascii="Arial" w:hAnsi="Arial" w:cs="Arial"/>
                <w:b/>
              </w:rPr>
              <w:t>LOWER</w:t>
            </w:r>
          </w:p>
        </w:tc>
        <w:tc>
          <w:tcPr>
            <w:tcW w:w="2268" w:type="dxa"/>
            <w:vAlign w:val="center"/>
          </w:tcPr>
          <w:p w:rsidR="003D5A19" w:rsidRDefault="004B71E2" w:rsidP="004E47A8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37.19</w:t>
            </w:r>
            <w:r w:rsidR="003D5A19">
              <w:rPr>
                <w:rFonts w:ascii="Arial" w:hAnsi="Arial" w:cs="Arial"/>
                <w:sz w:val="36"/>
              </w:rPr>
              <w:t>%</w:t>
            </w:r>
          </w:p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 w:rsidRPr="0086017F">
              <w:rPr>
                <w:rFonts w:ascii="Arial" w:hAnsi="Arial" w:cs="Arial"/>
                <w:b/>
              </w:rPr>
              <w:t>LOWER</w:t>
            </w:r>
          </w:p>
        </w:tc>
      </w:tr>
      <w:tr w:rsidR="003D5A19" w:rsidTr="0066180B">
        <w:tc>
          <w:tcPr>
            <w:tcW w:w="2268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(Mean)</w:t>
            </w:r>
          </w:p>
        </w:tc>
        <w:tc>
          <w:tcPr>
            <w:tcW w:w="2268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(Median)</w:t>
            </w:r>
          </w:p>
        </w:tc>
      </w:tr>
    </w:tbl>
    <w:p w:rsidR="003D5A19" w:rsidRDefault="003D5A19" w:rsidP="004E47A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Bonus payments</w:t>
      </w: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Women’s bonus pay is:</w:t>
      </w: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3D5A19" w:rsidTr="0066180B">
        <w:tc>
          <w:tcPr>
            <w:tcW w:w="2268" w:type="dxa"/>
            <w:vAlign w:val="center"/>
          </w:tcPr>
          <w:p w:rsidR="003D5A19" w:rsidRDefault="003D5A19" w:rsidP="004E47A8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100%</w:t>
            </w:r>
          </w:p>
          <w:p w:rsidR="003D5A19" w:rsidRPr="001C04F2" w:rsidRDefault="003D5A19" w:rsidP="004E47A8">
            <w:pPr>
              <w:jc w:val="both"/>
              <w:rPr>
                <w:rFonts w:ascii="Arial" w:hAnsi="Arial" w:cs="Arial"/>
                <w:sz w:val="36"/>
              </w:rPr>
            </w:pPr>
            <w:r w:rsidRPr="0086017F">
              <w:rPr>
                <w:rFonts w:ascii="Arial" w:hAnsi="Arial" w:cs="Arial"/>
                <w:b/>
              </w:rPr>
              <w:t>LOWER</w:t>
            </w:r>
          </w:p>
        </w:tc>
        <w:tc>
          <w:tcPr>
            <w:tcW w:w="2268" w:type="dxa"/>
            <w:vAlign w:val="center"/>
          </w:tcPr>
          <w:p w:rsidR="003D5A19" w:rsidRDefault="003D5A19" w:rsidP="004E47A8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100%</w:t>
            </w:r>
          </w:p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 w:rsidRPr="0086017F">
              <w:rPr>
                <w:rFonts w:ascii="Arial" w:hAnsi="Arial" w:cs="Arial"/>
                <w:b/>
              </w:rPr>
              <w:t>LOWER</w:t>
            </w:r>
          </w:p>
        </w:tc>
      </w:tr>
      <w:tr w:rsidR="003D5A19" w:rsidTr="0066180B">
        <w:tc>
          <w:tcPr>
            <w:tcW w:w="2268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(Mean)</w:t>
            </w:r>
          </w:p>
        </w:tc>
        <w:tc>
          <w:tcPr>
            <w:tcW w:w="2268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(Median)</w:t>
            </w:r>
          </w:p>
        </w:tc>
      </w:tr>
    </w:tbl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Who received a bonus </w:t>
      </w:r>
      <w:proofErr w:type="gramStart"/>
      <w:r>
        <w:rPr>
          <w:rFonts w:ascii="Arial" w:hAnsi="Arial" w:cs="Arial"/>
        </w:rPr>
        <w:t>payment:</w:t>
      </w:r>
      <w:proofErr w:type="gramEnd"/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23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3D5A19" w:rsidTr="0066180B">
        <w:tc>
          <w:tcPr>
            <w:tcW w:w="2268" w:type="dxa"/>
            <w:vAlign w:val="center"/>
          </w:tcPr>
          <w:p w:rsidR="003D5A19" w:rsidRDefault="003D5A19" w:rsidP="004E47A8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0%</w:t>
            </w:r>
          </w:p>
          <w:p w:rsidR="003D5A19" w:rsidRPr="001C04F2" w:rsidRDefault="003D5A19" w:rsidP="004E47A8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b/>
              </w:rPr>
              <w:t>WOMEN</w:t>
            </w:r>
          </w:p>
        </w:tc>
        <w:tc>
          <w:tcPr>
            <w:tcW w:w="2268" w:type="dxa"/>
            <w:vAlign w:val="center"/>
          </w:tcPr>
          <w:p w:rsidR="003D5A19" w:rsidRDefault="00334DF7" w:rsidP="004E47A8">
            <w:pPr>
              <w:jc w:val="both"/>
              <w:rPr>
                <w:rFonts w:ascii="Arial" w:hAnsi="Arial" w:cs="Arial"/>
                <w:sz w:val="36"/>
              </w:rPr>
            </w:pPr>
            <w:r w:rsidRPr="00334DF7">
              <w:rPr>
                <w:rFonts w:ascii="Arial" w:hAnsi="Arial" w:cs="Arial"/>
                <w:sz w:val="36"/>
              </w:rPr>
              <w:t>0.6</w:t>
            </w:r>
            <w:r w:rsidR="003D5A19" w:rsidRPr="00334DF7">
              <w:rPr>
                <w:rFonts w:ascii="Arial" w:hAnsi="Arial" w:cs="Arial"/>
                <w:sz w:val="36"/>
              </w:rPr>
              <w:t>%</w:t>
            </w:r>
          </w:p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MEN</w:t>
            </w:r>
          </w:p>
        </w:tc>
      </w:tr>
    </w:tbl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3D5A19" w:rsidRPr="00ED0B5F" w:rsidRDefault="003D5A19" w:rsidP="004E47A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D0B5F">
        <w:rPr>
          <w:rFonts w:ascii="Arial" w:hAnsi="Arial" w:cs="Arial"/>
          <w:u w:val="single"/>
        </w:rPr>
        <w:t xml:space="preserve">Pay quartiles  </w:t>
      </w: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many men and women are in each quarter of the employer’s payroll:</w:t>
      </w:r>
    </w:p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1559"/>
      </w:tblGrid>
      <w:tr w:rsidR="003D5A19" w:rsidTr="0066180B">
        <w:tc>
          <w:tcPr>
            <w:tcW w:w="2552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Quartile</w:t>
            </w:r>
          </w:p>
        </w:tc>
        <w:tc>
          <w:tcPr>
            <w:tcW w:w="2410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</w:t>
            </w:r>
          </w:p>
        </w:tc>
        <w:tc>
          <w:tcPr>
            <w:tcW w:w="1559" w:type="dxa"/>
          </w:tcPr>
          <w:p w:rsidR="003D5A19" w:rsidRDefault="00873E42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41.4</w:t>
            </w:r>
            <w:r w:rsidR="003D5A19">
              <w:rPr>
                <w:rFonts w:ascii="Arial" w:hAnsi="Arial" w:cs="Arial"/>
              </w:rPr>
              <w:t>%</w:t>
            </w:r>
          </w:p>
        </w:tc>
      </w:tr>
      <w:tr w:rsidR="003D5A19" w:rsidTr="0066180B">
        <w:tc>
          <w:tcPr>
            <w:tcW w:w="2552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</w:tc>
        <w:tc>
          <w:tcPr>
            <w:tcW w:w="1559" w:type="dxa"/>
          </w:tcPr>
          <w:p w:rsidR="003D5A19" w:rsidRDefault="00873E42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58.6</w:t>
            </w:r>
            <w:r w:rsidR="003D5A19">
              <w:rPr>
                <w:rFonts w:ascii="Arial" w:hAnsi="Arial" w:cs="Arial"/>
              </w:rPr>
              <w:t>%</w:t>
            </w:r>
          </w:p>
        </w:tc>
      </w:tr>
      <w:tr w:rsidR="003D5A19" w:rsidTr="0066180B">
        <w:tc>
          <w:tcPr>
            <w:tcW w:w="2552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</w:tr>
      <w:tr w:rsidR="003D5A19" w:rsidTr="0066180B">
        <w:tc>
          <w:tcPr>
            <w:tcW w:w="2552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Middle Quartile</w:t>
            </w:r>
          </w:p>
        </w:tc>
        <w:tc>
          <w:tcPr>
            <w:tcW w:w="2410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</w:t>
            </w:r>
          </w:p>
        </w:tc>
        <w:tc>
          <w:tcPr>
            <w:tcW w:w="1559" w:type="dxa"/>
          </w:tcPr>
          <w:p w:rsidR="003D5A19" w:rsidRDefault="00873E42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38.1</w:t>
            </w:r>
            <w:r w:rsidR="003D5A19">
              <w:rPr>
                <w:rFonts w:ascii="Arial" w:hAnsi="Arial" w:cs="Arial"/>
              </w:rPr>
              <w:t>%</w:t>
            </w:r>
          </w:p>
        </w:tc>
      </w:tr>
      <w:tr w:rsidR="003D5A19" w:rsidTr="0066180B">
        <w:tc>
          <w:tcPr>
            <w:tcW w:w="2552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</w:tc>
        <w:tc>
          <w:tcPr>
            <w:tcW w:w="1559" w:type="dxa"/>
          </w:tcPr>
          <w:p w:rsidR="003D5A19" w:rsidRDefault="00873E42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61.9</w:t>
            </w:r>
            <w:r w:rsidR="003D5A19">
              <w:rPr>
                <w:rFonts w:ascii="Arial" w:hAnsi="Arial" w:cs="Arial"/>
              </w:rPr>
              <w:t>%</w:t>
            </w:r>
          </w:p>
        </w:tc>
      </w:tr>
      <w:tr w:rsidR="003D5A19" w:rsidTr="0066180B">
        <w:tc>
          <w:tcPr>
            <w:tcW w:w="2552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</w:tr>
      <w:tr w:rsidR="003D5A19" w:rsidTr="0066180B">
        <w:tc>
          <w:tcPr>
            <w:tcW w:w="2552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Middle Quartile</w:t>
            </w:r>
          </w:p>
        </w:tc>
        <w:tc>
          <w:tcPr>
            <w:tcW w:w="2410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</w:t>
            </w:r>
          </w:p>
        </w:tc>
        <w:tc>
          <w:tcPr>
            <w:tcW w:w="1559" w:type="dxa"/>
          </w:tcPr>
          <w:p w:rsidR="003D5A19" w:rsidRDefault="00873E42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</w:t>
            </w:r>
            <w:r w:rsidR="003D5A19">
              <w:rPr>
                <w:rFonts w:ascii="Arial" w:hAnsi="Arial" w:cs="Arial"/>
              </w:rPr>
              <w:t>%</w:t>
            </w:r>
          </w:p>
        </w:tc>
      </w:tr>
      <w:tr w:rsidR="003D5A19" w:rsidTr="0066180B">
        <w:tc>
          <w:tcPr>
            <w:tcW w:w="2552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</w:tc>
        <w:tc>
          <w:tcPr>
            <w:tcW w:w="1559" w:type="dxa"/>
          </w:tcPr>
          <w:p w:rsidR="003D5A19" w:rsidRDefault="00873E42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77.6</w:t>
            </w:r>
            <w:r w:rsidR="003D5A19">
              <w:rPr>
                <w:rFonts w:ascii="Arial" w:hAnsi="Arial" w:cs="Arial"/>
              </w:rPr>
              <w:t>%</w:t>
            </w:r>
          </w:p>
        </w:tc>
      </w:tr>
      <w:tr w:rsidR="003D5A19" w:rsidTr="0066180B">
        <w:tc>
          <w:tcPr>
            <w:tcW w:w="2552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</w:tr>
      <w:tr w:rsidR="003D5A19" w:rsidTr="0066180B">
        <w:tc>
          <w:tcPr>
            <w:tcW w:w="2552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Quartile</w:t>
            </w:r>
          </w:p>
        </w:tc>
        <w:tc>
          <w:tcPr>
            <w:tcW w:w="2410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</w:t>
            </w:r>
          </w:p>
        </w:tc>
        <w:tc>
          <w:tcPr>
            <w:tcW w:w="1559" w:type="dxa"/>
          </w:tcPr>
          <w:p w:rsidR="003D5A19" w:rsidRDefault="00873E42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</w:t>
            </w:r>
            <w:r w:rsidR="003D5A19">
              <w:rPr>
                <w:rFonts w:ascii="Arial" w:hAnsi="Arial" w:cs="Arial"/>
              </w:rPr>
              <w:t>%</w:t>
            </w:r>
          </w:p>
        </w:tc>
      </w:tr>
      <w:tr w:rsidR="003D5A19" w:rsidTr="0066180B">
        <w:tc>
          <w:tcPr>
            <w:tcW w:w="2552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5A19" w:rsidRDefault="003D5A19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</w:tc>
        <w:tc>
          <w:tcPr>
            <w:tcW w:w="1559" w:type="dxa"/>
          </w:tcPr>
          <w:p w:rsidR="003D5A19" w:rsidRDefault="00873E42" w:rsidP="004E4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76.7</w:t>
            </w:r>
            <w:r w:rsidR="003D5A19">
              <w:rPr>
                <w:rFonts w:ascii="Arial" w:hAnsi="Arial" w:cs="Arial"/>
              </w:rPr>
              <w:t>%</w:t>
            </w:r>
          </w:p>
        </w:tc>
      </w:tr>
    </w:tbl>
    <w:p w:rsidR="003D5A19" w:rsidRDefault="003D5A19" w:rsidP="004E47A8">
      <w:pPr>
        <w:spacing w:after="0" w:line="240" w:lineRule="auto"/>
        <w:jc w:val="both"/>
        <w:rPr>
          <w:rFonts w:ascii="Arial" w:hAnsi="Arial" w:cs="Arial"/>
        </w:rPr>
      </w:pPr>
    </w:p>
    <w:p w:rsidR="003D5A19" w:rsidRPr="00C23E8F" w:rsidRDefault="00E60539" w:rsidP="004E47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Gender Pay Gap Report 2019</w:t>
      </w:r>
    </w:p>
    <w:p w:rsidR="003D5A19" w:rsidRPr="00C23E8F" w:rsidRDefault="003D5A19" w:rsidP="004E47A8">
      <w:pPr>
        <w:spacing w:after="0" w:line="240" w:lineRule="auto"/>
        <w:jc w:val="both"/>
        <w:rPr>
          <w:rFonts w:ascii="Arial" w:hAnsi="Arial" w:cs="Arial"/>
        </w:rPr>
      </w:pPr>
    </w:p>
    <w:p w:rsidR="00C23E8F" w:rsidRPr="00C23E8F" w:rsidRDefault="0035478F" w:rsidP="004E4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Trinity Multi Academy Trust </w:t>
      </w:r>
      <w:r w:rsidR="00C23E8F" w:rsidRPr="00C23E8F">
        <w:rPr>
          <w:rFonts w:ascii="Arial" w:hAnsi="Arial" w:cs="Arial"/>
        </w:rPr>
        <w:t>are an employer</w:t>
      </w:r>
      <w:r w:rsidR="00C23E8F">
        <w:rPr>
          <w:rFonts w:ascii="Arial" w:hAnsi="Arial" w:cs="Arial"/>
        </w:rPr>
        <w:t xml:space="preserve"> required by law to </w:t>
      </w:r>
      <w:r w:rsidR="00C23E8F" w:rsidRPr="00C23E8F">
        <w:rPr>
          <w:rFonts w:ascii="Arial" w:hAnsi="Arial" w:cs="Arial"/>
        </w:rPr>
        <w:t>carry out Gender Pay Reporting under the Equality Act 2010 (Gender Pay Gap Information) Regulations 2017.</w:t>
      </w:r>
      <w:r w:rsidR="006009E4">
        <w:rPr>
          <w:rFonts w:ascii="Arial" w:hAnsi="Arial" w:cs="Arial"/>
        </w:rPr>
        <w:t xml:space="preserve">  </w:t>
      </w:r>
      <w:r w:rsidR="00C23E8F" w:rsidRPr="00C23E8F">
        <w:rPr>
          <w:rFonts w:ascii="Arial" w:hAnsi="Arial" w:cs="Arial"/>
        </w:rPr>
        <w:t>This involves carrying out six calculations that show the difference between the average earnings of men and women in our organisation</w:t>
      </w:r>
      <w:r w:rsidR="00C23E8F">
        <w:rPr>
          <w:rFonts w:ascii="Arial" w:hAnsi="Arial" w:cs="Arial"/>
        </w:rPr>
        <w:t xml:space="preserve"> </w:t>
      </w:r>
      <w:r w:rsidR="00525FEF">
        <w:rPr>
          <w:rFonts w:ascii="Arial" w:hAnsi="Arial" w:cs="Arial"/>
        </w:rPr>
        <w:t>but does not</w:t>
      </w:r>
      <w:r w:rsidR="00C23E8F" w:rsidRPr="00C23E8F">
        <w:rPr>
          <w:rFonts w:ascii="Arial" w:hAnsi="Arial" w:cs="Arial"/>
        </w:rPr>
        <w:t xml:space="preserve"> involve publishing individual </w:t>
      </w:r>
      <w:r w:rsidR="006301D4" w:rsidRPr="00C23E8F">
        <w:rPr>
          <w:rFonts w:ascii="Arial" w:hAnsi="Arial" w:cs="Arial"/>
        </w:rPr>
        <w:t>employee’s</w:t>
      </w:r>
      <w:r w:rsidR="00C23E8F" w:rsidRPr="00C23E8F">
        <w:rPr>
          <w:rFonts w:ascii="Arial" w:hAnsi="Arial" w:cs="Arial"/>
        </w:rPr>
        <w:t xml:space="preserve"> data.</w:t>
      </w:r>
    </w:p>
    <w:p w:rsidR="00C23E8F" w:rsidRDefault="00C23E8F" w:rsidP="004E47A8">
      <w:pPr>
        <w:spacing w:after="0" w:line="240" w:lineRule="auto"/>
        <w:jc w:val="both"/>
        <w:rPr>
          <w:rFonts w:ascii="Arial" w:hAnsi="Arial" w:cs="Arial"/>
        </w:rPr>
      </w:pPr>
    </w:p>
    <w:p w:rsidR="00C23E8F" w:rsidRDefault="00C23E8F" w:rsidP="004E47A8">
      <w:pPr>
        <w:spacing w:after="0" w:line="240" w:lineRule="auto"/>
        <w:jc w:val="both"/>
        <w:rPr>
          <w:rFonts w:ascii="Arial" w:hAnsi="Arial" w:cs="Arial"/>
        </w:rPr>
      </w:pPr>
      <w:r w:rsidRPr="00C23E8F">
        <w:rPr>
          <w:rFonts w:ascii="Arial" w:hAnsi="Arial" w:cs="Arial"/>
        </w:rPr>
        <w:t xml:space="preserve">We are required to publish the results on our own website and </w:t>
      </w:r>
      <w:r w:rsidR="00525FEF">
        <w:rPr>
          <w:rFonts w:ascii="Arial" w:hAnsi="Arial" w:cs="Arial"/>
        </w:rPr>
        <w:t xml:space="preserve">to </w:t>
      </w:r>
      <w:r w:rsidRPr="00C23E8F">
        <w:rPr>
          <w:rFonts w:ascii="Arial" w:hAnsi="Arial" w:cs="Arial"/>
        </w:rPr>
        <w:t>a government website</w:t>
      </w:r>
      <w:r w:rsidR="00D17902">
        <w:rPr>
          <w:rFonts w:ascii="Arial" w:hAnsi="Arial" w:cs="Arial"/>
        </w:rPr>
        <w:t>.  As a public sector employer we</w:t>
      </w:r>
      <w:r w:rsidRPr="00C23E8F">
        <w:rPr>
          <w:rFonts w:ascii="Arial" w:hAnsi="Arial" w:cs="Arial"/>
        </w:rPr>
        <w:t xml:space="preserve"> will do this within one calendar year of </w:t>
      </w:r>
      <w:r>
        <w:rPr>
          <w:rFonts w:ascii="Arial" w:hAnsi="Arial" w:cs="Arial"/>
        </w:rPr>
        <w:t>31 March, from 31 March 2017.</w:t>
      </w:r>
    </w:p>
    <w:p w:rsidR="00C23E8F" w:rsidRDefault="00C23E8F" w:rsidP="004E47A8">
      <w:pPr>
        <w:spacing w:after="0" w:line="240" w:lineRule="auto"/>
        <w:jc w:val="both"/>
        <w:rPr>
          <w:rFonts w:ascii="Arial" w:hAnsi="Arial" w:cs="Arial"/>
        </w:rPr>
      </w:pPr>
    </w:p>
    <w:p w:rsidR="00C23E8F" w:rsidRPr="00C23E8F" w:rsidRDefault="00C23E8F" w:rsidP="004E47A8">
      <w:pPr>
        <w:spacing w:after="0" w:line="240" w:lineRule="auto"/>
        <w:jc w:val="both"/>
        <w:rPr>
          <w:rFonts w:ascii="Arial" w:hAnsi="Arial" w:cs="Arial"/>
        </w:rPr>
      </w:pPr>
      <w:r w:rsidRPr="00C23E8F">
        <w:rPr>
          <w:rFonts w:ascii="Arial" w:hAnsi="Arial" w:cs="Arial"/>
        </w:rPr>
        <w:t>We can use these results to assess:</w:t>
      </w:r>
    </w:p>
    <w:p w:rsidR="00C23E8F" w:rsidRPr="00C23E8F" w:rsidRDefault="00C23E8F" w:rsidP="004E47A8">
      <w:pPr>
        <w:pStyle w:val="Bullet"/>
        <w:jc w:val="both"/>
        <w:rPr>
          <w:rFonts w:ascii="Arial" w:hAnsi="Arial" w:cs="Arial"/>
          <w:sz w:val="22"/>
          <w:szCs w:val="22"/>
        </w:rPr>
      </w:pPr>
      <w:r w:rsidRPr="00C23E8F">
        <w:rPr>
          <w:rFonts w:ascii="Arial" w:hAnsi="Arial" w:cs="Arial"/>
          <w:sz w:val="22"/>
          <w:szCs w:val="22"/>
        </w:rPr>
        <w:t>the levels of gender equality in our workplace</w:t>
      </w:r>
    </w:p>
    <w:p w:rsidR="00C23E8F" w:rsidRPr="00C23E8F" w:rsidRDefault="00C23E8F" w:rsidP="004E47A8">
      <w:pPr>
        <w:pStyle w:val="Bullet"/>
        <w:spacing w:before="0"/>
        <w:jc w:val="both"/>
        <w:rPr>
          <w:rFonts w:ascii="Arial" w:hAnsi="Arial" w:cs="Arial"/>
          <w:sz w:val="22"/>
          <w:szCs w:val="22"/>
        </w:rPr>
      </w:pPr>
      <w:r w:rsidRPr="00C23E8F">
        <w:rPr>
          <w:rFonts w:ascii="Arial" w:hAnsi="Arial" w:cs="Arial"/>
          <w:sz w:val="22"/>
          <w:szCs w:val="22"/>
        </w:rPr>
        <w:t>the balance of male and female employees at different levels</w:t>
      </w:r>
    </w:p>
    <w:p w:rsidR="00C23E8F" w:rsidRPr="00C23E8F" w:rsidRDefault="00C23E8F" w:rsidP="004E47A8">
      <w:pPr>
        <w:pStyle w:val="Bullet"/>
        <w:spacing w:before="0"/>
        <w:jc w:val="both"/>
        <w:rPr>
          <w:rFonts w:ascii="Arial" w:hAnsi="Arial" w:cs="Arial"/>
          <w:sz w:val="22"/>
          <w:szCs w:val="22"/>
        </w:rPr>
      </w:pPr>
      <w:r w:rsidRPr="00C23E8F">
        <w:rPr>
          <w:rFonts w:ascii="Arial" w:hAnsi="Arial" w:cs="Arial"/>
          <w:sz w:val="22"/>
          <w:szCs w:val="22"/>
        </w:rPr>
        <w:t>how effectively talent is being maximised and rewarded.</w:t>
      </w:r>
    </w:p>
    <w:p w:rsidR="00C23E8F" w:rsidRDefault="00C23E8F" w:rsidP="004E47A8">
      <w:pPr>
        <w:spacing w:after="0" w:line="240" w:lineRule="auto"/>
        <w:jc w:val="both"/>
        <w:rPr>
          <w:rFonts w:ascii="Arial" w:hAnsi="Arial" w:cs="Arial"/>
        </w:rPr>
      </w:pPr>
    </w:p>
    <w:p w:rsidR="00902ADF" w:rsidRDefault="006009E4" w:rsidP="004E47A8">
      <w:pPr>
        <w:spacing w:after="0" w:line="240" w:lineRule="auto"/>
        <w:jc w:val="both"/>
        <w:rPr>
          <w:rFonts w:ascii="Arial" w:hAnsi="Arial" w:cs="Arial"/>
        </w:rPr>
      </w:pPr>
      <w:r w:rsidRPr="00C23E8F">
        <w:rPr>
          <w:rFonts w:ascii="Arial" w:hAnsi="Arial" w:cs="Arial"/>
        </w:rPr>
        <w:t xml:space="preserve">Gender Pay Reporting requires </w:t>
      </w:r>
      <w:r w:rsidR="0035478F">
        <w:rPr>
          <w:rFonts w:ascii="Arial" w:hAnsi="Arial" w:cs="Arial"/>
        </w:rPr>
        <w:t>us</w:t>
      </w:r>
      <w:r w:rsidRPr="00C23E8F">
        <w:rPr>
          <w:rFonts w:ascii="Arial" w:hAnsi="Arial" w:cs="Arial"/>
        </w:rPr>
        <w:t xml:space="preserve"> to make calculations based on employee gender. We </w:t>
      </w:r>
      <w:r w:rsidR="00525FEF">
        <w:rPr>
          <w:rFonts w:ascii="Arial" w:hAnsi="Arial" w:cs="Arial"/>
        </w:rPr>
        <w:t>have done</w:t>
      </w:r>
      <w:r w:rsidRPr="00C23E8F">
        <w:rPr>
          <w:rFonts w:ascii="Arial" w:hAnsi="Arial" w:cs="Arial"/>
        </w:rPr>
        <w:t xml:space="preserve"> this by using our existing HR and payroll records.</w:t>
      </w:r>
      <w:r>
        <w:rPr>
          <w:rFonts w:ascii="Arial" w:hAnsi="Arial" w:cs="Arial"/>
        </w:rPr>
        <w:t xml:space="preserve"> </w:t>
      </w:r>
      <w:r w:rsidRPr="00C23E8F">
        <w:rPr>
          <w:rFonts w:ascii="Arial" w:hAnsi="Arial" w:cs="Arial"/>
        </w:rPr>
        <w:t xml:space="preserve"> </w:t>
      </w:r>
    </w:p>
    <w:p w:rsidR="00902ADF" w:rsidRDefault="00902ADF" w:rsidP="004E47A8">
      <w:pPr>
        <w:spacing w:after="0" w:line="240" w:lineRule="auto"/>
        <w:jc w:val="both"/>
        <w:rPr>
          <w:rFonts w:ascii="Arial" w:hAnsi="Arial" w:cs="Arial"/>
        </w:rPr>
      </w:pPr>
    </w:p>
    <w:p w:rsidR="006009E4" w:rsidRPr="00C23E8F" w:rsidRDefault="006009E4" w:rsidP="004E47A8">
      <w:pPr>
        <w:spacing w:after="0" w:line="240" w:lineRule="auto"/>
        <w:jc w:val="both"/>
        <w:rPr>
          <w:rFonts w:ascii="Arial" w:hAnsi="Arial" w:cs="Arial"/>
        </w:rPr>
      </w:pPr>
      <w:r w:rsidRPr="00C23E8F">
        <w:rPr>
          <w:rFonts w:ascii="Arial" w:hAnsi="Arial" w:cs="Arial"/>
        </w:rPr>
        <w:t xml:space="preserve">Hourly rate for teaching staff is calculated on </w:t>
      </w:r>
      <w:r w:rsidR="00525FEF">
        <w:rPr>
          <w:rFonts w:ascii="Arial" w:hAnsi="Arial" w:cs="Arial"/>
        </w:rPr>
        <w:t xml:space="preserve">a </w:t>
      </w:r>
      <w:r w:rsidRPr="00C23E8F">
        <w:rPr>
          <w:rFonts w:ascii="Arial" w:hAnsi="Arial" w:cs="Arial"/>
        </w:rPr>
        <w:t>1/1265</w:t>
      </w:r>
      <w:r w:rsidRPr="00C23E8F">
        <w:rPr>
          <w:rFonts w:ascii="Arial" w:hAnsi="Arial" w:cs="Arial"/>
          <w:vertAlign w:val="superscript"/>
        </w:rPr>
        <w:t>th</w:t>
      </w:r>
      <w:r w:rsidRPr="00C23E8F">
        <w:rPr>
          <w:rFonts w:ascii="Arial" w:hAnsi="Arial" w:cs="Arial"/>
        </w:rPr>
        <w:t xml:space="preserve"> basis of the annual full time salary.  Support staff hourly rate is published in JCNC scales.</w:t>
      </w:r>
      <w:r w:rsidR="00D17902">
        <w:rPr>
          <w:rFonts w:ascii="Arial" w:hAnsi="Arial" w:cs="Arial"/>
        </w:rPr>
        <w:t xml:space="preserve">  </w:t>
      </w:r>
    </w:p>
    <w:p w:rsidR="006009E4" w:rsidRDefault="006009E4" w:rsidP="004E47A8">
      <w:pPr>
        <w:spacing w:after="0" w:line="240" w:lineRule="auto"/>
        <w:jc w:val="both"/>
        <w:rPr>
          <w:rFonts w:ascii="Arial" w:hAnsi="Arial" w:cs="Arial"/>
        </w:rPr>
      </w:pPr>
    </w:p>
    <w:p w:rsidR="00C23E8F" w:rsidRDefault="00525FEF" w:rsidP="004E4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are confident that Trinity t</w:t>
      </w:r>
      <w:r w:rsidR="00902ADF">
        <w:rPr>
          <w:rFonts w:ascii="Arial" w:hAnsi="Arial" w:cs="Arial"/>
        </w:rPr>
        <w:t>rust’s gender pay gap is not a pay issue, we know this because our approach to pay is gender neutral and we have in place job evaluation structures to ensure there is pay parity across the trust.</w:t>
      </w:r>
      <w:r w:rsidR="00B44E92">
        <w:rPr>
          <w:rFonts w:ascii="Arial" w:hAnsi="Arial" w:cs="Arial"/>
        </w:rPr>
        <w:t xml:space="preserve">  We use pay scales based on the School Teachers Pay and Conditions Document and for non-teaching staff we use pay scales set by the NJC.  </w:t>
      </w:r>
    </w:p>
    <w:p w:rsidR="006E6086" w:rsidRDefault="006E6086" w:rsidP="004E47A8">
      <w:pPr>
        <w:spacing w:after="0" w:line="240" w:lineRule="auto"/>
        <w:jc w:val="both"/>
        <w:rPr>
          <w:rFonts w:ascii="Arial" w:hAnsi="Arial" w:cs="Arial"/>
        </w:rPr>
      </w:pPr>
    </w:p>
    <w:p w:rsidR="006E6086" w:rsidRDefault="006E6086" w:rsidP="006E6086">
      <w:pPr>
        <w:spacing w:after="0" w:line="240" w:lineRule="auto"/>
        <w:jc w:val="both"/>
        <w:rPr>
          <w:rFonts w:ascii="Arial" w:hAnsi="Arial" w:cs="Arial"/>
        </w:rPr>
      </w:pPr>
      <w:r w:rsidRPr="00F82200">
        <w:rPr>
          <w:rFonts w:ascii="Arial" w:hAnsi="Arial" w:cs="Arial"/>
        </w:rPr>
        <w:t>It should be noted that the gender pay gap is not the same as</w:t>
      </w:r>
      <w:r>
        <w:rPr>
          <w:rFonts w:ascii="Arial" w:hAnsi="Arial" w:cs="Arial"/>
        </w:rPr>
        <w:t xml:space="preserve"> equal pay</w:t>
      </w:r>
      <w:r w:rsidRPr="00F82200">
        <w:rPr>
          <w:rFonts w:ascii="Arial" w:hAnsi="Arial" w:cs="Arial"/>
        </w:rPr>
        <w:t xml:space="preserve">. </w:t>
      </w:r>
      <w:r w:rsidRPr="00E65E62">
        <w:rPr>
          <w:rFonts w:ascii="Arial" w:hAnsi="Arial" w:cs="Arial"/>
        </w:rPr>
        <w:t>Equal pay is about ensuring that people have the same pay or range of pay for work deemed</w:t>
      </w:r>
      <w:r>
        <w:rPr>
          <w:rFonts w:ascii="Arial" w:hAnsi="Arial" w:cs="Arial"/>
        </w:rPr>
        <w:t xml:space="preserve"> </w:t>
      </w:r>
      <w:r w:rsidRPr="00E65E62">
        <w:rPr>
          <w:rFonts w:ascii="Arial" w:hAnsi="Arial" w:cs="Arial"/>
        </w:rPr>
        <w:t>of equal value.</w:t>
      </w:r>
    </w:p>
    <w:p w:rsidR="007A5F65" w:rsidRDefault="007A5F65" w:rsidP="007A5F65">
      <w:pPr>
        <w:spacing w:after="0" w:line="240" w:lineRule="auto"/>
        <w:jc w:val="both"/>
        <w:rPr>
          <w:rFonts w:ascii="Arial" w:hAnsi="Arial" w:cs="Arial"/>
        </w:rPr>
      </w:pPr>
    </w:p>
    <w:p w:rsidR="007A5F65" w:rsidRDefault="007A5F65" w:rsidP="007A5F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the sna</w:t>
      </w:r>
      <w:r w:rsidR="00E64143">
        <w:rPr>
          <w:rFonts w:ascii="Arial" w:hAnsi="Arial" w:cs="Arial"/>
        </w:rPr>
        <w:t>pshot date/period there were 31</w:t>
      </w:r>
      <w:r>
        <w:rPr>
          <w:rFonts w:ascii="Arial" w:hAnsi="Arial" w:cs="Arial"/>
        </w:rPr>
        <w:t>% male and 69% female staff.</w:t>
      </w:r>
    </w:p>
    <w:p w:rsidR="00B44E92" w:rsidRDefault="00B44E92" w:rsidP="004E47A8">
      <w:pPr>
        <w:spacing w:after="0" w:line="240" w:lineRule="auto"/>
        <w:jc w:val="both"/>
        <w:rPr>
          <w:rFonts w:ascii="Arial" w:hAnsi="Arial" w:cs="Arial"/>
        </w:rPr>
      </w:pPr>
    </w:p>
    <w:p w:rsidR="00B44E92" w:rsidRDefault="00B44E92" w:rsidP="004E4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four quartiles there is a significantly higher proportion of women in the Lower and Lower Middle Quartile.  This indicates that a higher proportion of women </w:t>
      </w:r>
      <w:r w:rsidR="00C60A7C">
        <w:rPr>
          <w:rFonts w:ascii="Arial" w:hAnsi="Arial" w:cs="Arial"/>
        </w:rPr>
        <w:t xml:space="preserve">are in the more junior grades.  In the Upper and Upper Middle </w:t>
      </w:r>
      <w:r>
        <w:rPr>
          <w:rFonts w:ascii="Arial" w:hAnsi="Arial" w:cs="Arial"/>
        </w:rPr>
        <w:t>quartiles there is a high proportion of</w:t>
      </w:r>
      <w:r w:rsidR="00C60A7C">
        <w:rPr>
          <w:rFonts w:ascii="Arial" w:hAnsi="Arial" w:cs="Arial"/>
        </w:rPr>
        <w:t xml:space="preserve"> female staff, showing in the higher pay levels women are represented strongly. </w:t>
      </w:r>
    </w:p>
    <w:p w:rsidR="0035478F" w:rsidRDefault="0035478F" w:rsidP="004E47A8">
      <w:pPr>
        <w:spacing w:after="0" w:line="240" w:lineRule="auto"/>
        <w:jc w:val="both"/>
        <w:rPr>
          <w:rFonts w:ascii="Arial" w:hAnsi="Arial" w:cs="Arial"/>
        </w:rPr>
      </w:pPr>
    </w:p>
    <w:p w:rsidR="0035478F" w:rsidRDefault="0035478F" w:rsidP="004E47A8">
      <w:pPr>
        <w:spacing w:after="0" w:line="240" w:lineRule="auto"/>
        <w:jc w:val="both"/>
        <w:rPr>
          <w:rFonts w:ascii="Arial" w:hAnsi="Arial" w:cs="Arial"/>
        </w:rPr>
      </w:pPr>
      <w:r w:rsidRPr="004B71E2">
        <w:rPr>
          <w:rFonts w:ascii="Arial" w:hAnsi="Arial" w:cs="Arial"/>
        </w:rPr>
        <w:t xml:space="preserve">The difference between the mean hourly rate of pay that male and female full-pay relevant employees receive is </w:t>
      </w:r>
      <w:r w:rsidR="004B71E2" w:rsidRPr="004B71E2">
        <w:rPr>
          <w:rFonts w:ascii="Arial" w:hAnsi="Arial" w:cs="Arial"/>
        </w:rPr>
        <w:t>23.62</w:t>
      </w:r>
      <w:r w:rsidRPr="004B71E2">
        <w:rPr>
          <w:rFonts w:ascii="Arial" w:hAnsi="Arial" w:cs="Arial"/>
        </w:rPr>
        <w:t xml:space="preserve">%.  The difference between the median hourly rate of pay that male and female full-pay relevant employees receive is </w:t>
      </w:r>
      <w:r w:rsidR="004B71E2" w:rsidRPr="004B71E2">
        <w:rPr>
          <w:rFonts w:ascii="Arial" w:hAnsi="Arial" w:cs="Arial"/>
        </w:rPr>
        <w:t>37.19</w:t>
      </w:r>
      <w:r w:rsidRPr="004B71E2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 </w:t>
      </w:r>
    </w:p>
    <w:p w:rsidR="0035478F" w:rsidRDefault="0035478F" w:rsidP="004E47A8">
      <w:pPr>
        <w:spacing w:after="0" w:line="240" w:lineRule="auto"/>
        <w:jc w:val="both"/>
        <w:rPr>
          <w:rFonts w:ascii="Arial" w:hAnsi="Arial" w:cs="Arial"/>
        </w:rPr>
      </w:pPr>
    </w:p>
    <w:p w:rsidR="0035478F" w:rsidRDefault="0035478F" w:rsidP="004E4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One male employee received a bonus, therefore the gap for mean and median pay is 100%.</w:t>
      </w:r>
    </w:p>
    <w:p w:rsidR="00F82200" w:rsidRDefault="00F82200" w:rsidP="004E47A8">
      <w:pPr>
        <w:spacing w:after="0" w:line="240" w:lineRule="auto"/>
        <w:jc w:val="both"/>
        <w:rPr>
          <w:rFonts w:ascii="Arial" w:hAnsi="Arial" w:cs="Arial"/>
        </w:rPr>
      </w:pPr>
    </w:p>
    <w:p w:rsidR="00473EBE" w:rsidRDefault="00473EBE" w:rsidP="004E4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comparison to the previous year’s report, the gap has narrowed </w:t>
      </w:r>
      <w:r w:rsidR="00D359AB">
        <w:rPr>
          <w:rFonts w:ascii="Arial" w:hAnsi="Arial" w:cs="Arial"/>
        </w:rPr>
        <w:t>from 17.78</w:t>
      </w:r>
      <w:r w:rsidR="006E6086">
        <w:rPr>
          <w:rFonts w:ascii="Arial" w:hAnsi="Arial" w:cs="Arial"/>
        </w:rPr>
        <w:t>%</w:t>
      </w:r>
      <w:r w:rsidR="00D359AB">
        <w:rPr>
          <w:rFonts w:ascii="Arial" w:hAnsi="Arial" w:cs="Arial"/>
        </w:rPr>
        <w:t xml:space="preserve"> to 13.57%</w:t>
      </w:r>
      <w:r w:rsidR="006E6086">
        <w:rPr>
          <w:rFonts w:ascii="Arial" w:hAnsi="Arial" w:cs="Arial"/>
        </w:rPr>
        <w:t xml:space="preserve">. </w:t>
      </w:r>
    </w:p>
    <w:p w:rsidR="00D359AB" w:rsidRDefault="00D359AB" w:rsidP="004E47A8">
      <w:pPr>
        <w:spacing w:after="0" w:line="240" w:lineRule="auto"/>
        <w:jc w:val="both"/>
        <w:rPr>
          <w:rFonts w:ascii="Arial" w:hAnsi="Arial" w:cs="Arial"/>
        </w:rPr>
      </w:pPr>
    </w:p>
    <w:p w:rsidR="00F82200" w:rsidRDefault="00F82200" w:rsidP="004E4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Whilst there are comparisons to be made from the previous year’s report, it i</w:t>
      </w:r>
      <w:r w:rsidR="0049048A">
        <w:rPr>
          <w:rFonts w:ascii="Arial" w:hAnsi="Arial" w:cs="Arial"/>
        </w:rPr>
        <w:t>s worth nothing that the trust, since March 201</w:t>
      </w:r>
      <w:r w:rsidR="009B0A36">
        <w:rPr>
          <w:rFonts w:ascii="Arial" w:hAnsi="Arial" w:cs="Arial"/>
        </w:rPr>
        <w:t>8</w:t>
      </w:r>
      <w:r w:rsidR="004904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has taken on another large secondary academy</w:t>
      </w:r>
      <w:r w:rsidR="009B0A36">
        <w:rPr>
          <w:rFonts w:ascii="Arial" w:hAnsi="Arial" w:cs="Arial"/>
        </w:rPr>
        <w:t xml:space="preserve"> and a primary academy</w:t>
      </w:r>
      <w:r>
        <w:rPr>
          <w:rFonts w:ascii="Arial" w:hAnsi="Arial" w:cs="Arial"/>
        </w:rPr>
        <w:t>. The trust has therefore seen an increase in employees</w:t>
      </w:r>
      <w:r w:rsidR="006E60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82200" w:rsidRDefault="00F82200" w:rsidP="004E47A8">
      <w:pPr>
        <w:spacing w:after="0" w:line="240" w:lineRule="auto"/>
        <w:jc w:val="both"/>
        <w:rPr>
          <w:rFonts w:ascii="Arial" w:hAnsi="Arial" w:cs="Arial"/>
        </w:rPr>
      </w:pPr>
    </w:p>
    <w:p w:rsidR="00473EBE" w:rsidRPr="00473EBE" w:rsidRDefault="00473EBE" w:rsidP="00473E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recognise that the gap needs to be narrowed further </w:t>
      </w:r>
      <w:r w:rsidR="003C5F3A">
        <w:rPr>
          <w:rFonts w:ascii="Arial" w:hAnsi="Arial" w:cs="Arial"/>
        </w:rPr>
        <w:t>and a</w:t>
      </w:r>
      <w:r>
        <w:rPr>
          <w:rFonts w:ascii="Arial" w:hAnsi="Arial" w:cs="Arial"/>
        </w:rPr>
        <w:t xml:space="preserve">s a trust we have committed to </w:t>
      </w:r>
      <w:r w:rsidRPr="00473EBE">
        <w:rPr>
          <w:rFonts w:ascii="Arial" w:hAnsi="Arial" w:cs="Arial"/>
        </w:rPr>
        <w:t xml:space="preserve">continue to engage in processes designed to help </w:t>
      </w:r>
      <w:r w:rsidR="00015F1C">
        <w:rPr>
          <w:rFonts w:ascii="Arial" w:hAnsi="Arial" w:cs="Arial"/>
        </w:rPr>
        <w:t>females</w:t>
      </w:r>
      <w:r w:rsidRPr="00473EBE">
        <w:rPr>
          <w:rFonts w:ascii="Arial" w:hAnsi="Arial" w:cs="Arial"/>
        </w:rPr>
        <w:t xml:space="preserve"> within the organisation develop</w:t>
      </w:r>
      <w:r w:rsidR="00271012">
        <w:rPr>
          <w:rFonts w:ascii="Arial" w:hAnsi="Arial" w:cs="Arial"/>
        </w:rPr>
        <w:t xml:space="preserve"> </w:t>
      </w:r>
      <w:r w:rsidRPr="00473EBE">
        <w:rPr>
          <w:rFonts w:ascii="Arial" w:hAnsi="Arial" w:cs="Arial"/>
        </w:rPr>
        <w:t>and grow</w:t>
      </w:r>
      <w:r w:rsidR="00015F1C">
        <w:rPr>
          <w:rFonts w:ascii="Arial" w:hAnsi="Arial" w:cs="Arial"/>
        </w:rPr>
        <w:t xml:space="preserve">. </w:t>
      </w:r>
      <w:r w:rsidR="003C5F3A">
        <w:rPr>
          <w:rFonts w:ascii="Arial" w:hAnsi="Arial" w:cs="Arial"/>
        </w:rPr>
        <w:t>These are as follows:</w:t>
      </w:r>
    </w:p>
    <w:p w:rsidR="00015F1C" w:rsidRPr="00015F1C" w:rsidRDefault="00015F1C" w:rsidP="003C5F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5F1C">
        <w:rPr>
          <w:rFonts w:ascii="Arial" w:hAnsi="Arial" w:cs="Arial"/>
        </w:rPr>
        <w:t>Identifying the proportions of men and w</w:t>
      </w:r>
      <w:r w:rsidR="0049048A">
        <w:rPr>
          <w:rFonts w:ascii="Arial" w:hAnsi="Arial" w:cs="Arial"/>
        </w:rPr>
        <w:t>omen applying f</w:t>
      </w:r>
      <w:r w:rsidR="006E6086">
        <w:rPr>
          <w:rFonts w:ascii="Arial" w:hAnsi="Arial" w:cs="Arial"/>
        </w:rPr>
        <w:t xml:space="preserve">or vacancies and being appointed, this will include those applying for and obtaining promotions. </w:t>
      </w:r>
    </w:p>
    <w:p w:rsidR="00015F1C" w:rsidRPr="00015F1C" w:rsidRDefault="00015F1C" w:rsidP="003C5F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5F1C">
        <w:rPr>
          <w:rFonts w:ascii="Arial" w:hAnsi="Arial" w:cs="Arial"/>
        </w:rPr>
        <w:t xml:space="preserve">Implementation of middle and senior leadership development programmes which are equally accessible to all staff. </w:t>
      </w:r>
    </w:p>
    <w:p w:rsidR="00D17902" w:rsidRDefault="0049048A" w:rsidP="003C5F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Encourage both teaching and s</w:t>
      </w:r>
      <w:r w:rsidR="00015F1C" w:rsidRPr="00015F1C">
        <w:rPr>
          <w:rFonts w:ascii="Arial" w:hAnsi="Arial" w:cs="Arial"/>
        </w:rPr>
        <w:t xml:space="preserve">upport staff at all levels to participate in the performance management </w:t>
      </w:r>
      <w:r>
        <w:rPr>
          <w:rFonts w:ascii="Arial" w:hAnsi="Arial" w:cs="Arial"/>
        </w:rPr>
        <w:t>pathways</w:t>
      </w:r>
      <w:r w:rsidR="00015F1C" w:rsidRPr="00015F1C">
        <w:rPr>
          <w:rFonts w:ascii="Arial" w:hAnsi="Arial" w:cs="Arial"/>
        </w:rPr>
        <w:t xml:space="preserve"> using formal, informal training.</w:t>
      </w:r>
    </w:p>
    <w:p w:rsidR="006E6086" w:rsidRPr="006E6086" w:rsidRDefault="006E6086" w:rsidP="003C5F3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Continue to u</w:t>
      </w:r>
      <w:r w:rsidRPr="006E6086">
        <w:rPr>
          <w:rFonts w:ascii="Arial" w:hAnsi="Arial" w:cs="Arial"/>
        </w:rPr>
        <w:t>se the Trust Flexible Working policy to help to recruit, retain and motivate employees.</w:t>
      </w:r>
    </w:p>
    <w:p w:rsidR="006E6086" w:rsidRPr="006E6086" w:rsidRDefault="006E6086" w:rsidP="006E608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5478F" w:rsidRPr="00015F1C" w:rsidRDefault="0035478F" w:rsidP="00015F1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54305" w:rsidRDefault="00E54305" w:rsidP="004E47A8">
      <w:pPr>
        <w:spacing w:after="0" w:line="240" w:lineRule="auto"/>
        <w:jc w:val="both"/>
        <w:rPr>
          <w:rFonts w:ascii="Arial" w:hAnsi="Arial" w:cs="Arial"/>
        </w:rPr>
      </w:pPr>
    </w:p>
    <w:p w:rsidR="00E54305" w:rsidRPr="00E54305" w:rsidRDefault="00E54305" w:rsidP="004E47A8">
      <w:pPr>
        <w:spacing w:after="0" w:line="240" w:lineRule="auto"/>
        <w:jc w:val="both"/>
        <w:rPr>
          <w:rFonts w:ascii="Arial" w:hAnsi="Arial" w:cs="Arial"/>
        </w:rPr>
      </w:pPr>
    </w:p>
    <w:sectPr w:rsidR="00E54305" w:rsidRPr="00E54305" w:rsidSect="003D5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00" w:rsidRDefault="00016200" w:rsidP="00016200">
      <w:pPr>
        <w:spacing w:after="0" w:line="240" w:lineRule="auto"/>
      </w:pPr>
      <w:r>
        <w:separator/>
      </w:r>
    </w:p>
  </w:endnote>
  <w:endnote w:type="continuationSeparator" w:id="0">
    <w:p w:rsidR="00016200" w:rsidRDefault="00016200" w:rsidP="0001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00" w:rsidRDefault="00016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00" w:rsidRDefault="00016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00" w:rsidRDefault="00016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00" w:rsidRDefault="00016200" w:rsidP="00016200">
      <w:pPr>
        <w:spacing w:after="0" w:line="240" w:lineRule="auto"/>
      </w:pPr>
      <w:r>
        <w:separator/>
      </w:r>
    </w:p>
  </w:footnote>
  <w:footnote w:type="continuationSeparator" w:id="0">
    <w:p w:rsidR="00016200" w:rsidRDefault="00016200" w:rsidP="0001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00" w:rsidRDefault="00016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00" w:rsidRDefault="00016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00" w:rsidRDefault="00016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528"/>
    <w:multiLevelType w:val="multilevel"/>
    <w:tmpl w:val="7C52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D3F90"/>
    <w:multiLevelType w:val="hybridMultilevel"/>
    <w:tmpl w:val="5D589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76C9B"/>
    <w:multiLevelType w:val="hybridMultilevel"/>
    <w:tmpl w:val="488EE7CA"/>
    <w:lvl w:ilvl="0" w:tplc="CB44783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F1F1A"/>
    <w:multiLevelType w:val="hybridMultilevel"/>
    <w:tmpl w:val="C53E8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B95D37"/>
    <w:multiLevelType w:val="hybridMultilevel"/>
    <w:tmpl w:val="A654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95971"/>
    <w:multiLevelType w:val="hybridMultilevel"/>
    <w:tmpl w:val="09CAD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B4"/>
    <w:rsid w:val="00015F1C"/>
    <w:rsid w:val="00016200"/>
    <w:rsid w:val="000974B4"/>
    <w:rsid w:val="00102157"/>
    <w:rsid w:val="001258C6"/>
    <w:rsid w:val="00175347"/>
    <w:rsid w:val="001F57FA"/>
    <w:rsid w:val="00204822"/>
    <w:rsid w:val="00231EC8"/>
    <w:rsid w:val="002527F0"/>
    <w:rsid w:val="00271012"/>
    <w:rsid w:val="0028702E"/>
    <w:rsid w:val="002920A6"/>
    <w:rsid w:val="00334DF7"/>
    <w:rsid w:val="0035478F"/>
    <w:rsid w:val="003C5F3A"/>
    <w:rsid w:val="003D5A19"/>
    <w:rsid w:val="00473EBE"/>
    <w:rsid w:val="0049048A"/>
    <w:rsid w:val="004A4B52"/>
    <w:rsid w:val="004A780C"/>
    <w:rsid w:val="004B71E2"/>
    <w:rsid w:val="004E47A8"/>
    <w:rsid w:val="00500427"/>
    <w:rsid w:val="00524931"/>
    <w:rsid w:val="00525FEF"/>
    <w:rsid w:val="006009E4"/>
    <w:rsid w:val="006301D4"/>
    <w:rsid w:val="006E6086"/>
    <w:rsid w:val="007A5F65"/>
    <w:rsid w:val="007B79ED"/>
    <w:rsid w:val="00873E42"/>
    <w:rsid w:val="00902ADF"/>
    <w:rsid w:val="009A71C0"/>
    <w:rsid w:val="009B0A36"/>
    <w:rsid w:val="009D483F"/>
    <w:rsid w:val="00A75F88"/>
    <w:rsid w:val="00B44E92"/>
    <w:rsid w:val="00BB7E85"/>
    <w:rsid w:val="00C04654"/>
    <w:rsid w:val="00C23E8F"/>
    <w:rsid w:val="00C60A7C"/>
    <w:rsid w:val="00D17902"/>
    <w:rsid w:val="00D359AB"/>
    <w:rsid w:val="00E54305"/>
    <w:rsid w:val="00E60539"/>
    <w:rsid w:val="00E64143"/>
    <w:rsid w:val="00E65E62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C5A178"/>
  <w15:docId w15:val="{92EF3DBA-8AB1-45A7-825B-23281367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Char">
    <w:name w:val="Bullet Char"/>
    <w:basedOn w:val="DefaultParagraphFont"/>
    <w:link w:val="Bullet"/>
    <w:locked/>
    <w:rsid w:val="00C23E8F"/>
    <w:rPr>
      <w:rFonts w:ascii="Verdana" w:eastAsia="Times New Roman" w:hAnsi="Verdana" w:cs="Verdana"/>
      <w:sz w:val="24"/>
      <w:szCs w:val="24"/>
      <w:lang w:eastAsia="en-GB"/>
    </w:rPr>
  </w:style>
  <w:style w:type="paragraph" w:customStyle="1" w:styleId="Bullet">
    <w:name w:val="Bullet"/>
    <w:basedOn w:val="Normal"/>
    <w:link w:val="BulletChar"/>
    <w:qFormat/>
    <w:rsid w:val="00C23E8F"/>
    <w:pPr>
      <w:numPr>
        <w:numId w:val="1"/>
      </w:numPr>
      <w:spacing w:before="120" w:after="0" w:line="240" w:lineRule="auto"/>
      <w:contextualSpacing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5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00"/>
  </w:style>
  <w:style w:type="paragraph" w:styleId="Footer">
    <w:name w:val="footer"/>
    <w:basedOn w:val="Normal"/>
    <w:link w:val="FooterChar"/>
    <w:uiPriority w:val="99"/>
    <w:unhideWhenUsed/>
    <w:rsid w:val="0001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4144-8AAB-44CD-9BB5-09297622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j.heyworth</dc:creator>
  <cp:lastModifiedBy>Gemma Mitchell</cp:lastModifiedBy>
  <cp:revision>3</cp:revision>
  <cp:lastPrinted>2017-11-02T11:58:00Z</cp:lastPrinted>
  <dcterms:created xsi:type="dcterms:W3CDTF">2019-06-23T13:45:00Z</dcterms:created>
  <dcterms:modified xsi:type="dcterms:W3CDTF">2019-06-23T13:50:00Z</dcterms:modified>
</cp:coreProperties>
</file>